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B3" w:rsidRPr="00D14CB3" w:rsidRDefault="00D14CB3" w:rsidP="00D14CB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bookmarkStart w:id="0" w:name="_GoBack"/>
      <w:bookmarkEnd w:id="0"/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27.05.2015 tarihli ve 29368 sayılı Resmi Gazetede yayımlanarak yürürlüğe giren </w:t>
      </w:r>
      <w:proofErr w:type="gramStart"/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>Taşınmaz    Kültür</w:t>
      </w:r>
      <w:proofErr w:type="gramEnd"/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   Varlıklarına    Yardım    Sağlanmasına    Dair    Yönetmelik çerçevesinde  Bakanlığımız  2020  yılı  bütçesinden  proje  ve  uygulama  yardımı  yapılacak taşınmazlar Taşınmaz Kültür Varlıklarına Yardım Komisyonu'nun 16.03.2020 tarihli ve 1 sayılı kararı ile belirlenmiştir.</w:t>
      </w:r>
    </w:p>
    <w:p w:rsidR="00D14CB3" w:rsidRDefault="00D14CB3" w:rsidP="00D14CB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Anılan Komisyon toplantısında Bakanlığımız </w:t>
      </w:r>
      <w:r w:rsidRPr="00D14CB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2021 yılı yardımları</w:t>
      </w:r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na yönelik proje ve uygulama yardımları için İl Kültür ve Turizm Müdürlüklerine </w:t>
      </w:r>
      <w:proofErr w:type="gramStart"/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>yapılacak  son</w:t>
      </w:r>
      <w:proofErr w:type="gramEnd"/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başvuru tarihi olarak </w:t>
      </w:r>
      <w:r w:rsidRPr="00D14CB3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02.10.2020</w:t>
      </w:r>
      <w:r w:rsidRPr="00D14CB3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belirlenmiştir. </w:t>
      </w:r>
    </w:p>
    <w:p w:rsidR="00D14CB3" w:rsidRDefault="00D14CB3" w:rsidP="00D14CB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D14CB3" w:rsidRPr="00D14CB3" w:rsidRDefault="00D14CB3" w:rsidP="00D14CB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D14CB3" w:rsidRPr="00D14CB3" w:rsidRDefault="00D14CB3" w:rsidP="00D14CB3">
      <w:pPr>
        <w:pStyle w:val="AralkYok"/>
        <w:rPr>
          <w:rFonts w:ascii="Verdana" w:hAnsi="Verdana"/>
          <w:b/>
          <w:bCs/>
          <w:sz w:val="20"/>
          <w:szCs w:val="20"/>
        </w:rPr>
      </w:pPr>
      <w:r w:rsidRPr="00D14CB3">
        <w:rPr>
          <w:rFonts w:ascii="Verdana" w:hAnsi="Verdana"/>
          <w:b/>
          <w:bCs/>
          <w:sz w:val="20"/>
          <w:szCs w:val="20"/>
        </w:rPr>
        <w:t>Proje yardımları için;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MADDE 8 –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(1) Proje yardımları için;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a) Yardım başvuru dilekçesi,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b) T.C. kimlik numarası beyanı,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c) Kanuni tebligat adresi ve iletişim bilgisi,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ç) Mal sahibi adına yapılacak başvurularda noter onaylı vekâletname ve/veya veraset ilamı,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d) Taşınmaza ilişkin tescil kararı,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e) Başvuru tarihi itibarıyla son üç ay içinde alınmış mülkiyet belgesi,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f) Taşınmazın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kadastral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durumunu gösteren belge,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g) Projenin kapsamına, işin bitirilme süresine, yapı alanına ve yaklaşık maliyetine ilişkin mimar tarafından hazırlanan rapor,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ğ) Dijital ortamda yapının iç, dış ve yakın çevresini gösteren net çekilmiş fotoğraf albümü,</w:t>
      </w:r>
    </w:p>
    <w:p w:rsid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h) Projeyi hazırlayacak mimarın uygulama aşamasında denetim işlemlerini gerçekleştireceğine dair mimar tarafından imzalı taahhütname ile 12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proofErr w:type="spellStart"/>
      <w:r w:rsidRPr="00D14CB3">
        <w:rPr>
          <w:rFonts w:ascii="Verdana" w:hAnsi="Verdana"/>
          <w:sz w:val="20"/>
          <w:szCs w:val="20"/>
        </w:rPr>
        <w:t>nci</w:t>
      </w:r>
      <w:proofErr w:type="spellEnd"/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maddenin birinci fıkrasının (ğ) bendine göre prensip kararı alınması durumunda istenilecek belgeler, talep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edilir.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</w:p>
    <w:p w:rsidR="00D14CB3" w:rsidRPr="00D14CB3" w:rsidRDefault="00D14CB3" w:rsidP="00D14CB3">
      <w:pPr>
        <w:pStyle w:val="AralkYok"/>
        <w:rPr>
          <w:rFonts w:ascii="Verdana" w:hAnsi="Verdana"/>
          <w:b/>
          <w:bCs/>
          <w:sz w:val="20"/>
          <w:szCs w:val="20"/>
        </w:rPr>
      </w:pPr>
      <w:r w:rsidRPr="00D14CB3">
        <w:rPr>
          <w:rFonts w:ascii="Verdana" w:hAnsi="Verdana"/>
          <w:b/>
          <w:bCs/>
          <w:sz w:val="20"/>
          <w:szCs w:val="20"/>
        </w:rPr>
        <w:t>Uygulama yardımları için;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MADDE 9 –</w:t>
      </w:r>
      <w:r w:rsidRPr="00D14CB3">
        <w:rPr>
          <w:rStyle w:val="apple-converted-space"/>
          <w:rFonts w:ascii="Verdana" w:hAnsi="Verdana" w:cs="Times New Roman"/>
          <w:b/>
          <w:bCs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(1) Uygulama yardımları için;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a) Yardım başvuru dilekçesi,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b) T.C. kimlik numarası beyanı,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c) Kanuni tebligat adresi ve iletişim bilgisi,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ç) Mal sahibi adına yapılacak başvurularda noter onaylı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proofErr w:type="gramStart"/>
      <w:r w:rsidRPr="00D14CB3">
        <w:rPr>
          <w:rFonts w:ascii="Verdana" w:hAnsi="Verdana"/>
          <w:sz w:val="20"/>
          <w:szCs w:val="20"/>
        </w:rPr>
        <w:t>vekaletname</w:t>
      </w:r>
      <w:proofErr w:type="gramEnd"/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 xml:space="preserve">ve/veya veraset </w:t>
      </w:r>
      <w:proofErr w:type="gramStart"/>
      <w:r w:rsidRPr="00D14CB3">
        <w:rPr>
          <w:rFonts w:ascii="Verdana" w:hAnsi="Verdana"/>
          <w:sz w:val="20"/>
          <w:szCs w:val="20"/>
        </w:rPr>
        <w:t>ilamı</w:t>
      </w:r>
      <w:proofErr w:type="gramEnd"/>
      <w:r w:rsidRPr="00D14CB3">
        <w:rPr>
          <w:rFonts w:ascii="Verdana" w:hAnsi="Verdana"/>
          <w:sz w:val="20"/>
          <w:szCs w:val="20"/>
        </w:rPr>
        <w:t>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d) Taşınmaza ilişkin tescil kararı,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e) Uygulamaya başlanabilmesi için gerekli tüm çizim, proje, bilgi ve belgelerin uygun olduğuna ilişkin Koruma Bölge Kurulu kararı ve onaylı projeler,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f) Başvuru tarihi itibarıyla son üç ay içinde alınmış mülkiyet belgesi,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g) Taşınmazın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kadastral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durumunu gösteren belge,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ğ) Uygulamanın kapsamına, işin bitirilme süresine, uygulama aşamalarına ve yaklaşık maliyetine ilişkin mimar ve ilgili mühendislerce hazırlanan rapor,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h) Dijital ortamda yapının iç, dış ve yakın çevresini gösteren net çekilmiş fotoğraf albümü,</w:t>
      </w:r>
    </w:p>
    <w:p w:rsidR="00D14CB3" w:rsidRPr="00D14CB3" w:rsidRDefault="00D14CB3" w:rsidP="00D14CB3">
      <w:pPr>
        <w:pStyle w:val="AralkYok"/>
        <w:rPr>
          <w:rFonts w:ascii="Verdana" w:hAnsi="Verdana"/>
          <w:sz w:val="20"/>
          <w:szCs w:val="20"/>
        </w:rPr>
      </w:pPr>
      <w:r w:rsidRPr="00D14CB3">
        <w:rPr>
          <w:rFonts w:ascii="Verdana" w:hAnsi="Verdana"/>
          <w:sz w:val="20"/>
          <w:szCs w:val="20"/>
        </w:rPr>
        <w:t>ı) Uygulamayı gerçekleştirecek sorumlularla ilgili 12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proofErr w:type="spellStart"/>
      <w:r w:rsidRPr="00D14CB3">
        <w:rPr>
          <w:rFonts w:ascii="Verdana" w:hAnsi="Verdana"/>
          <w:sz w:val="20"/>
          <w:szCs w:val="20"/>
        </w:rPr>
        <w:t>nci</w:t>
      </w:r>
      <w:proofErr w:type="spellEnd"/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maddenin birinci fıkrasının (ğ) bendine göre prensip kararı alınması durumunda istenilecek belgeler, talep</w:t>
      </w:r>
      <w:r w:rsidRPr="00D14CB3">
        <w:rPr>
          <w:rStyle w:val="apple-converted-space"/>
          <w:rFonts w:ascii="Verdana" w:hAnsi="Verdana" w:cs="Times New Roman"/>
          <w:sz w:val="20"/>
          <w:szCs w:val="20"/>
        </w:rPr>
        <w:t> </w:t>
      </w:r>
      <w:r w:rsidRPr="00D14CB3">
        <w:rPr>
          <w:rFonts w:ascii="Verdana" w:hAnsi="Verdana"/>
          <w:sz w:val="20"/>
          <w:szCs w:val="20"/>
        </w:rPr>
        <w:t>edilir.</w:t>
      </w:r>
    </w:p>
    <w:p w:rsidR="00D14CB3" w:rsidRPr="00D14CB3" w:rsidRDefault="00D14CB3" w:rsidP="00D14CB3">
      <w:pPr>
        <w:ind w:firstLine="708"/>
        <w:rPr>
          <w:rFonts w:ascii="Verdana" w:hAnsi="Verdana" w:cs="Times New Roman"/>
          <w:sz w:val="20"/>
          <w:szCs w:val="20"/>
        </w:rPr>
      </w:pPr>
    </w:p>
    <w:p w:rsidR="00D14CB3" w:rsidRPr="00D14CB3" w:rsidRDefault="00D14CB3" w:rsidP="00D14C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D14CB3" w:rsidRDefault="00D14CB3"/>
    <w:sectPr w:rsidR="00D14CB3" w:rsidSect="00D14CB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B3"/>
    <w:rsid w:val="003F3410"/>
    <w:rsid w:val="00D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7EAE-A11F-4966-A002-426CF3F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14CB3"/>
  </w:style>
  <w:style w:type="paragraph" w:styleId="AralkYok">
    <w:name w:val="No Spacing"/>
    <w:uiPriority w:val="1"/>
    <w:qFormat/>
    <w:rsid w:val="00D14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Şaban MAKAS</cp:lastModifiedBy>
  <cp:revision>2</cp:revision>
  <cp:lastPrinted>2020-06-25T10:52:00Z</cp:lastPrinted>
  <dcterms:created xsi:type="dcterms:W3CDTF">2020-06-29T10:20:00Z</dcterms:created>
  <dcterms:modified xsi:type="dcterms:W3CDTF">2020-06-29T10:20:00Z</dcterms:modified>
</cp:coreProperties>
</file>